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E8" w:rsidRDefault="00726555" w:rsidP="00266AE8">
      <w:pPr>
        <w:jc w:val="center"/>
        <w:rPr>
          <w:rFonts w:ascii="Arial Narrow" w:hAnsi="Arial Narrow"/>
          <w:b/>
        </w:rPr>
      </w:pPr>
      <w:r>
        <w:rPr>
          <w:noProof/>
        </w:rPr>
        <w:drawing>
          <wp:inline distT="0" distB="0" distL="0" distR="0">
            <wp:extent cx="6486525" cy="466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86525" cy="4667250"/>
                    </a:xfrm>
                    <a:prstGeom prst="rect">
                      <a:avLst/>
                    </a:prstGeom>
                    <a:noFill/>
                    <a:ln w="9525">
                      <a:noFill/>
                      <a:miter lim="800000"/>
                      <a:headEnd/>
                      <a:tailEnd/>
                    </a:ln>
                  </pic:spPr>
                </pic:pic>
              </a:graphicData>
            </a:graphic>
          </wp:inline>
        </w:drawing>
      </w:r>
      <w:r w:rsidR="00266AE8" w:rsidRPr="00266AE8">
        <w:rPr>
          <w:rFonts w:ascii="Arial Narrow" w:hAnsi="Arial Narrow"/>
          <w:b/>
        </w:rPr>
        <w:t xml:space="preserve"> </w:t>
      </w:r>
      <w:r w:rsidR="00266AE8">
        <w:rPr>
          <w:rFonts w:ascii="Arial Narrow" w:hAnsi="Arial Narrow"/>
          <w:b/>
        </w:rPr>
        <w:t>Hierarchy chart of fund groups</w:t>
      </w:r>
    </w:p>
    <w:p w:rsidR="00C5219D" w:rsidRDefault="00C5219D" w:rsidP="00266AE8">
      <w:pPr>
        <w:pStyle w:val="Heading1"/>
        <w:rPr>
          <w:rFonts w:ascii="Arial Narrow" w:hAnsi="Arial Narrow"/>
          <w:sz w:val="24"/>
          <w:szCs w:val="24"/>
        </w:rPr>
      </w:pPr>
    </w:p>
    <w:p w:rsidR="00266AE8" w:rsidRDefault="00266AE8" w:rsidP="00266AE8">
      <w:pPr>
        <w:pStyle w:val="Heading1"/>
        <w:rPr>
          <w:rFonts w:ascii="Arial Narrow" w:hAnsi="Arial Narrow"/>
          <w:sz w:val="24"/>
          <w:szCs w:val="24"/>
        </w:rPr>
      </w:pPr>
      <w:r>
        <w:rPr>
          <w:rFonts w:ascii="Arial Narrow" w:hAnsi="Arial Narrow"/>
          <w:sz w:val="24"/>
          <w:szCs w:val="24"/>
        </w:rPr>
        <w:t>This section is excerpted from Jud Hurd’s “The GUIDE”, located at:</w:t>
      </w:r>
    </w:p>
    <w:p w:rsidR="00266AE8" w:rsidRDefault="008D6B9C" w:rsidP="00266AE8">
      <w:pPr>
        <w:rPr>
          <w:rFonts w:ascii="Arial Narrow" w:hAnsi="Arial Narrow"/>
          <w:b/>
        </w:rPr>
      </w:pPr>
      <w:hyperlink r:id="rId8" w:history="1">
        <w:r w:rsidR="00266AE8" w:rsidRPr="004349BF">
          <w:rPr>
            <w:rStyle w:val="Hyperlink"/>
          </w:rPr>
          <w:t>http://abs.colorado.edu/ABS%20WEB/WEB_2003/ABS_Guide.htm</w:t>
        </w:r>
      </w:hyperlink>
    </w:p>
    <w:p w:rsidR="00266AE8" w:rsidRPr="003854C6" w:rsidRDefault="00266AE8" w:rsidP="00266AE8">
      <w:pPr>
        <w:rPr>
          <w:rFonts w:ascii="Arial Narrow" w:hAnsi="Arial Narrow"/>
        </w:rPr>
      </w:pPr>
      <w:r w:rsidRPr="003854C6">
        <w:rPr>
          <w:rFonts w:ascii="Arial Narrow" w:hAnsi="Arial Narrow"/>
        </w:rPr>
        <w:t xml:space="preserve">The key to higher education fund accounting is a thorough understanding of the proper accounting for all revenues.  </w:t>
      </w:r>
      <w:r w:rsidRPr="00120AB4">
        <w:rPr>
          <w:rFonts w:ascii="Arial Narrow" w:hAnsi="Arial Narrow"/>
          <w:b/>
          <w:i/>
        </w:rPr>
        <w:t>Once the revenue is properly accounted for in the correct fund group, then the expenditure of that revenue naturally follows.</w:t>
      </w:r>
      <w:r w:rsidRPr="003854C6">
        <w:rPr>
          <w:rFonts w:ascii="Arial Narrow" w:hAnsi="Arial Narrow"/>
        </w:rPr>
        <w:t xml:space="preserve">  Therefore, the fund group identifies the source of the money being received and spent.  The list that follows shows all of the university’s fund groups.</w:t>
      </w:r>
    </w:p>
    <w:p w:rsidR="00266AE8" w:rsidRPr="003854C6" w:rsidRDefault="00266AE8" w:rsidP="00266AE8">
      <w:pPr>
        <w:numPr>
          <w:ilvl w:val="0"/>
          <w:numId w:val="2"/>
        </w:numPr>
        <w:rPr>
          <w:rFonts w:ascii="Arial Narrow" w:hAnsi="Arial Narrow"/>
        </w:rPr>
      </w:pPr>
      <w:r w:rsidRPr="003854C6">
        <w:rPr>
          <w:rFonts w:ascii="Arial Narrow" w:hAnsi="Arial Narrow"/>
        </w:rPr>
        <w:t>Current funds</w:t>
      </w:r>
    </w:p>
    <w:p w:rsidR="00266AE8" w:rsidRPr="003854C6" w:rsidRDefault="00266AE8" w:rsidP="00266AE8">
      <w:pPr>
        <w:numPr>
          <w:ilvl w:val="0"/>
          <w:numId w:val="1"/>
        </w:numPr>
        <w:rPr>
          <w:rFonts w:ascii="Arial Narrow" w:hAnsi="Arial Narrow"/>
        </w:rPr>
      </w:pPr>
      <w:r w:rsidRPr="003854C6">
        <w:rPr>
          <w:rFonts w:ascii="Arial Narrow" w:hAnsi="Arial Narrow"/>
        </w:rPr>
        <w:t>Unrestricted</w:t>
      </w:r>
    </w:p>
    <w:p w:rsidR="00266AE8" w:rsidRPr="003854C6" w:rsidRDefault="00266AE8" w:rsidP="00266AE8">
      <w:pPr>
        <w:numPr>
          <w:ilvl w:val="0"/>
          <w:numId w:val="1"/>
        </w:numPr>
        <w:rPr>
          <w:rFonts w:ascii="Arial Narrow" w:hAnsi="Arial Narrow"/>
        </w:rPr>
      </w:pPr>
      <w:r w:rsidRPr="003854C6">
        <w:rPr>
          <w:rFonts w:ascii="Arial Narrow" w:hAnsi="Arial Narrow"/>
        </w:rPr>
        <w:t>Restricted</w:t>
      </w:r>
    </w:p>
    <w:p w:rsidR="00266AE8" w:rsidRPr="003854C6" w:rsidRDefault="00266AE8" w:rsidP="00266AE8">
      <w:pPr>
        <w:numPr>
          <w:ilvl w:val="0"/>
          <w:numId w:val="3"/>
        </w:numPr>
        <w:rPr>
          <w:rFonts w:ascii="Arial Narrow" w:hAnsi="Arial Narrow"/>
        </w:rPr>
      </w:pPr>
      <w:r w:rsidRPr="003854C6">
        <w:rPr>
          <w:rFonts w:ascii="Arial Narrow" w:hAnsi="Arial Narrow"/>
        </w:rPr>
        <w:t>Loan funds</w:t>
      </w:r>
    </w:p>
    <w:p w:rsidR="00266AE8" w:rsidRPr="003854C6" w:rsidRDefault="00266AE8" w:rsidP="00266AE8">
      <w:pPr>
        <w:numPr>
          <w:ilvl w:val="0"/>
          <w:numId w:val="3"/>
        </w:numPr>
        <w:rPr>
          <w:rFonts w:ascii="Arial Narrow" w:hAnsi="Arial Narrow"/>
        </w:rPr>
      </w:pPr>
      <w:r w:rsidRPr="003854C6">
        <w:rPr>
          <w:rFonts w:ascii="Arial Narrow" w:hAnsi="Arial Narrow"/>
        </w:rPr>
        <w:t>Endowment and similar funds</w:t>
      </w:r>
    </w:p>
    <w:p w:rsidR="00266AE8" w:rsidRPr="003854C6" w:rsidRDefault="00266AE8" w:rsidP="00266AE8">
      <w:pPr>
        <w:numPr>
          <w:ilvl w:val="0"/>
          <w:numId w:val="3"/>
        </w:numPr>
        <w:rPr>
          <w:rFonts w:ascii="Arial Narrow" w:hAnsi="Arial Narrow"/>
        </w:rPr>
      </w:pPr>
      <w:r w:rsidRPr="003854C6">
        <w:rPr>
          <w:rFonts w:ascii="Arial Narrow" w:hAnsi="Arial Narrow"/>
        </w:rPr>
        <w:t>Annuity and life income funds</w:t>
      </w:r>
    </w:p>
    <w:p w:rsidR="00266AE8" w:rsidRPr="003854C6" w:rsidRDefault="00266AE8" w:rsidP="00266AE8">
      <w:pPr>
        <w:numPr>
          <w:ilvl w:val="0"/>
          <w:numId w:val="5"/>
        </w:numPr>
        <w:rPr>
          <w:rFonts w:ascii="Arial Narrow" w:hAnsi="Arial Narrow"/>
        </w:rPr>
      </w:pPr>
      <w:r w:rsidRPr="003854C6">
        <w:rPr>
          <w:rFonts w:ascii="Arial Narrow" w:hAnsi="Arial Narrow"/>
        </w:rPr>
        <w:t>Annuity funds</w:t>
      </w:r>
    </w:p>
    <w:p w:rsidR="00266AE8" w:rsidRPr="003854C6" w:rsidRDefault="00266AE8" w:rsidP="00266AE8">
      <w:pPr>
        <w:numPr>
          <w:ilvl w:val="0"/>
          <w:numId w:val="5"/>
        </w:numPr>
        <w:rPr>
          <w:rFonts w:ascii="Arial Narrow" w:hAnsi="Arial Narrow"/>
        </w:rPr>
      </w:pPr>
      <w:r w:rsidRPr="003854C6">
        <w:rPr>
          <w:rFonts w:ascii="Arial Narrow" w:hAnsi="Arial Narrow"/>
        </w:rPr>
        <w:t>Life income funds</w:t>
      </w:r>
    </w:p>
    <w:p w:rsidR="00266AE8" w:rsidRPr="003854C6" w:rsidRDefault="00266AE8" w:rsidP="00266AE8">
      <w:pPr>
        <w:numPr>
          <w:ilvl w:val="0"/>
          <w:numId w:val="4"/>
        </w:numPr>
        <w:rPr>
          <w:rFonts w:ascii="Arial Narrow" w:hAnsi="Arial Narrow"/>
        </w:rPr>
      </w:pPr>
      <w:r w:rsidRPr="003854C6">
        <w:rPr>
          <w:rFonts w:ascii="Arial Narrow" w:hAnsi="Arial Narrow"/>
        </w:rPr>
        <w:t>Plant funds</w:t>
      </w:r>
    </w:p>
    <w:p w:rsidR="00266AE8" w:rsidRPr="003854C6" w:rsidRDefault="00266AE8" w:rsidP="00266AE8">
      <w:pPr>
        <w:numPr>
          <w:ilvl w:val="1"/>
          <w:numId w:val="7"/>
        </w:numPr>
        <w:rPr>
          <w:rFonts w:ascii="Arial Narrow" w:hAnsi="Arial Narrow"/>
        </w:rPr>
      </w:pPr>
      <w:r w:rsidRPr="003854C6">
        <w:rPr>
          <w:rFonts w:ascii="Arial Narrow" w:hAnsi="Arial Narrow"/>
        </w:rPr>
        <w:lastRenderedPageBreak/>
        <w:t>Unexpended</w:t>
      </w:r>
    </w:p>
    <w:p w:rsidR="00266AE8" w:rsidRPr="003854C6" w:rsidRDefault="00266AE8" w:rsidP="00266AE8">
      <w:pPr>
        <w:numPr>
          <w:ilvl w:val="1"/>
          <w:numId w:val="7"/>
        </w:numPr>
        <w:rPr>
          <w:rFonts w:ascii="Arial Narrow" w:hAnsi="Arial Narrow"/>
        </w:rPr>
      </w:pPr>
      <w:r w:rsidRPr="003854C6">
        <w:rPr>
          <w:rFonts w:ascii="Arial Narrow" w:hAnsi="Arial Narrow"/>
        </w:rPr>
        <w:t>Renewals and replacements</w:t>
      </w:r>
    </w:p>
    <w:p w:rsidR="00266AE8" w:rsidRPr="003854C6" w:rsidRDefault="00266AE8" w:rsidP="00266AE8">
      <w:pPr>
        <w:numPr>
          <w:ilvl w:val="1"/>
          <w:numId w:val="7"/>
        </w:numPr>
        <w:rPr>
          <w:rFonts w:ascii="Arial Narrow" w:hAnsi="Arial Narrow"/>
        </w:rPr>
      </w:pPr>
      <w:r w:rsidRPr="003854C6">
        <w:rPr>
          <w:rFonts w:ascii="Arial Narrow" w:hAnsi="Arial Narrow"/>
        </w:rPr>
        <w:t>Retirement of indebtedness</w:t>
      </w:r>
    </w:p>
    <w:p w:rsidR="00266AE8" w:rsidRPr="003854C6" w:rsidRDefault="00266AE8" w:rsidP="00266AE8">
      <w:pPr>
        <w:numPr>
          <w:ilvl w:val="1"/>
          <w:numId w:val="7"/>
        </w:numPr>
        <w:rPr>
          <w:rFonts w:ascii="Arial Narrow" w:hAnsi="Arial Narrow"/>
        </w:rPr>
      </w:pPr>
      <w:r w:rsidRPr="003854C6">
        <w:rPr>
          <w:rFonts w:ascii="Arial Narrow" w:hAnsi="Arial Narrow"/>
        </w:rPr>
        <w:t>Investment in plant</w:t>
      </w:r>
    </w:p>
    <w:p w:rsidR="00266AE8" w:rsidRPr="003854C6" w:rsidRDefault="00266AE8" w:rsidP="00266AE8">
      <w:pPr>
        <w:numPr>
          <w:ilvl w:val="0"/>
          <w:numId w:val="4"/>
        </w:numPr>
        <w:rPr>
          <w:rFonts w:ascii="Arial Narrow" w:hAnsi="Arial Narrow"/>
        </w:rPr>
      </w:pPr>
      <w:r w:rsidRPr="003854C6">
        <w:rPr>
          <w:rFonts w:ascii="Arial Narrow" w:hAnsi="Arial Narrow"/>
        </w:rPr>
        <w:t>Agency funds</w:t>
      </w:r>
    </w:p>
    <w:p w:rsidR="00266AE8" w:rsidRPr="003854C6" w:rsidRDefault="00266AE8" w:rsidP="00266AE8">
      <w:pPr>
        <w:rPr>
          <w:rFonts w:ascii="Arial Narrow" w:hAnsi="Arial Narrow"/>
        </w:rPr>
      </w:pPr>
    </w:p>
    <w:p w:rsidR="00266AE8" w:rsidRPr="003854C6" w:rsidRDefault="00266AE8" w:rsidP="00266AE8">
      <w:pPr>
        <w:rPr>
          <w:rFonts w:ascii="Arial Narrow" w:hAnsi="Arial Narrow"/>
        </w:rPr>
      </w:pPr>
      <w:r w:rsidRPr="003854C6">
        <w:rPr>
          <w:rFonts w:ascii="Arial Narrow" w:hAnsi="Arial Narrow"/>
        </w:rPr>
        <w:t>The fund groups used most frequently when recording revenues by the university are described below:</w:t>
      </w:r>
    </w:p>
    <w:p w:rsidR="00266AE8" w:rsidRPr="003854C6" w:rsidRDefault="00266AE8" w:rsidP="00266AE8">
      <w:pPr>
        <w:rPr>
          <w:rFonts w:ascii="Arial Narrow" w:hAnsi="Arial Narrow"/>
          <w:b/>
        </w:rPr>
      </w:pPr>
    </w:p>
    <w:p w:rsidR="00266AE8" w:rsidRPr="003854C6" w:rsidRDefault="00266AE8" w:rsidP="00266AE8">
      <w:pPr>
        <w:rPr>
          <w:rFonts w:ascii="Arial Narrow" w:hAnsi="Arial Narrow"/>
          <w:b/>
          <w:bCs/>
        </w:rPr>
      </w:pPr>
      <w:r w:rsidRPr="003854C6">
        <w:rPr>
          <w:rFonts w:ascii="Arial Narrow" w:hAnsi="Arial Narrow"/>
          <w:b/>
          <w:bCs/>
        </w:rPr>
        <w:t>CURRENT FUNDS UNRESTRICTED</w:t>
      </w:r>
    </w:p>
    <w:p w:rsidR="00266AE8" w:rsidRPr="003854C6" w:rsidRDefault="00266AE8" w:rsidP="00266AE8">
      <w:pPr>
        <w:rPr>
          <w:rFonts w:ascii="Arial Narrow" w:hAnsi="Arial Narrow"/>
          <w:b/>
          <w:u w:val="single"/>
        </w:rPr>
      </w:pPr>
      <w:r w:rsidRPr="003854C6">
        <w:rPr>
          <w:rFonts w:ascii="Arial Narrow" w:hAnsi="Arial Narrow"/>
          <w:b/>
          <w:u w:val="single"/>
        </w:rPr>
        <w:t>Fund 10 – Unrestricted General Fund</w:t>
      </w:r>
    </w:p>
    <w:p w:rsidR="00266AE8" w:rsidRPr="003854C6" w:rsidRDefault="00266AE8" w:rsidP="00266AE8">
      <w:pPr>
        <w:numPr>
          <w:ilvl w:val="0"/>
          <w:numId w:val="6"/>
        </w:numPr>
        <w:rPr>
          <w:rFonts w:ascii="Arial Narrow" w:hAnsi="Arial Narrow"/>
        </w:rPr>
      </w:pPr>
      <w:r w:rsidRPr="003854C6">
        <w:rPr>
          <w:rFonts w:ascii="Arial Narrow" w:hAnsi="Arial Narrow"/>
        </w:rPr>
        <w:t>Fund 10 - used to account for the university missions of instruction, research, and public service; and related academic services, student services, institutional support services, operation and maintenance of plant, and student aid.</w:t>
      </w:r>
    </w:p>
    <w:p w:rsidR="00266AE8" w:rsidRPr="003854C6" w:rsidRDefault="00266AE8" w:rsidP="00266AE8">
      <w:pPr>
        <w:rPr>
          <w:rFonts w:ascii="Arial Narrow" w:hAnsi="Arial Narrow"/>
          <w:b/>
        </w:rPr>
      </w:pPr>
    </w:p>
    <w:p w:rsidR="00266AE8" w:rsidRPr="003854C6" w:rsidRDefault="00266AE8" w:rsidP="00266AE8">
      <w:pPr>
        <w:rPr>
          <w:rFonts w:ascii="Arial Narrow" w:hAnsi="Arial Narrow"/>
          <w:b/>
          <w:u w:val="single"/>
        </w:rPr>
      </w:pPr>
      <w:r w:rsidRPr="003854C6">
        <w:rPr>
          <w:rFonts w:ascii="Arial Narrow" w:hAnsi="Arial Narrow"/>
          <w:b/>
          <w:u w:val="single"/>
        </w:rPr>
        <w:t>Funds 20, 26, 28, 29 – Auxiliary and Self-Funded Activities</w:t>
      </w:r>
    </w:p>
    <w:p w:rsidR="00266AE8" w:rsidRPr="003854C6" w:rsidRDefault="00266AE8" w:rsidP="00266AE8">
      <w:pPr>
        <w:numPr>
          <w:ilvl w:val="0"/>
          <w:numId w:val="6"/>
        </w:numPr>
        <w:rPr>
          <w:rFonts w:ascii="Arial Narrow" w:hAnsi="Arial Narrow"/>
        </w:rPr>
      </w:pPr>
      <w:r w:rsidRPr="003854C6">
        <w:rPr>
          <w:rFonts w:ascii="Arial Narrow" w:hAnsi="Arial Narrow"/>
        </w:rPr>
        <w:t xml:space="preserve">Fund 20 – for revenues and expenses of self-funded entities that have been formally designated by the Board of Regents as TABOR Enterprises.  </w:t>
      </w:r>
    </w:p>
    <w:p w:rsidR="00266AE8" w:rsidRPr="003854C6" w:rsidRDefault="00266AE8" w:rsidP="00266AE8">
      <w:pPr>
        <w:numPr>
          <w:ilvl w:val="0"/>
          <w:numId w:val="6"/>
        </w:numPr>
        <w:rPr>
          <w:rFonts w:ascii="Arial Narrow" w:hAnsi="Arial Narrow"/>
        </w:rPr>
      </w:pPr>
      <w:r w:rsidRPr="003854C6">
        <w:rPr>
          <w:rFonts w:ascii="Arial Narrow" w:hAnsi="Arial Narrow"/>
        </w:rPr>
        <w:t>Fund 26 – for royalty payments from patent and licensing fees, and for residual monies from fixed price contracts.</w:t>
      </w:r>
    </w:p>
    <w:p w:rsidR="00266AE8" w:rsidRPr="003854C6" w:rsidRDefault="00266AE8" w:rsidP="00266AE8">
      <w:pPr>
        <w:numPr>
          <w:ilvl w:val="0"/>
          <w:numId w:val="6"/>
        </w:numPr>
        <w:rPr>
          <w:rFonts w:ascii="Arial Narrow" w:hAnsi="Arial Narrow"/>
        </w:rPr>
      </w:pPr>
      <w:r w:rsidRPr="003854C6">
        <w:rPr>
          <w:rFonts w:ascii="Arial Narrow" w:hAnsi="Arial Narrow"/>
        </w:rPr>
        <w:t xml:space="preserve">Fund 28 – for financial activities associated with formal </w:t>
      </w:r>
      <w:r w:rsidRPr="003854C6">
        <w:rPr>
          <w:rFonts w:ascii="Arial Narrow" w:hAnsi="Arial Narrow"/>
          <w:u w:val="single"/>
        </w:rPr>
        <w:t>Internal Service Centers (ISC).</w:t>
      </w:r>
      <w:r w:rsidRPr="003854C6">
        <w:rPr>
          <w:rFonts w:ascii="Arial Narrow" w:hAnsi="Arial Narrow"/>
        </w:rPr>
        <w:t xml:space="preserve">  ISCs provide goods and services internally to campus depa</w:t>
      </w:r>
      <w:r>
        <w:rPr>
          <w:rFonts w:ascii="Arial Narrow" w:hAnsi="Arial Narrow"/>
        </w:rPr>
        <w:t>rtments and sponsored projects</w:t>
      </w:r>
      <w:r w:rsidRPr="003854C6">
        <w:rPr>
          <w:rFonts w:ascii="Arial Narrow" w:hAnsi="Arial Narrow"/>
        </w:rPr>
        <w:t>, such as lab supplies sold to students and campus copy centers.</w:t>
      </w:r>
    </w:p>
    <w:p w:rsidR="00266AE8" w:rsidRPr="003854C6" w:rsidRDefault="00266AE8" w:rsidP="00266AE8">
      <w:pPr>
        <w:numPr>
          <w:ilvl w:val="0"/>
          <w:numId w:val="6"/>
        </w:numPr>
        <w:rPr>
          <w:rFonts w:ascii="Arial Narrow" w:hAnsi="Arial Narrow"/>
          <w:b/>
        </w:rPr>
      </w:pPr>
      <w:r w:rsidRPr="003854C6">
        <w:rPr>
          <w:rFonts w:ascii="Arial Narrow" w:hAnsi="Arial Narrow"/>
        </w:rPr>
        <w:t>Fund 29 – for self-funded activities that cannot be classified in Funds 20, 26, or 28</w:t>
      </w:r>
      <w:r w:rsidRPr="003854C6">
        <w:rPr>
          <w:rFonts w:ascii="Arial Narrow" w:hAnsi="Arial Narrow"/>
          <w:b/>
        </w:rPr>
        <w:t xml:space="preserve">.  </w:t>
      </w:r>
    </w:p>
    <w:p w:rsidR="00266AE8" w:rsidRPr="003854C6" w:rsidRDefault="00266AE8" w:rsidP="00266AE8">
      <w:pPr>
        <w:rPr>
          <w:rFonts w:ascii="Arial Narrow" w:hAnsi="Arial Narrow"/>
          <w:b/>
          <w:u w:val="single"/>
        </w:rPr>
      </w:pPr>
    </w:p>
    <w:p w:rsidR="00266AE8" w:rsidRPr="003854C6" w:rsidRDefault="00266AE8" w:rsidP="00266AE8">
      <w:pPr>
        <w:tabs>
          <w:tab w:val="num" w:pos="720"/>
        </w:tabs>
        <w:rPr>
          <w:rFonts w:ascii="Arial Narrow" w:hAnsi="Arial Narrow"/>
          <w:b/>
          <w:bCs/>
        </w:rPr>
      </w:pPr>
      <w:r w:rsidRPr="003854C6">
        <w:rPr>
          <w:rFonts w:ascii="Arial Narrow" w:hAnsi="Arial Narrow"/>
          <w:b/>
          <w:bCs/>
        </w:rPr>
        <w:t>CURRENT FUNDS RESTRICTED</w:t>
      </w:r>
    </w:p>
    <w:p w:rsidR="00266AE8" w:rsidRPr="003854C6" w:rsidRDefault="00266AE8" w:rsidP="00266AE8">
      <w:pPr>
        <w:rPr>
          <w:rFonts w:ascii="Arial Narrow" w:hAnsi="Arial Narrow"/>
          <w:b/>
          <w:u w:val="single"/>
        </w:rPr>
      </w:pPr>
      <w:r w:rsidRPr="003854C6">
        <w:rPr>
          <w:rFonts w:ascii="Arial Narrow" w:hAnsi="Arial Narrow"/>
          <w:b/>
          <w:u w:val="single"/>
        </w:rPr>
        <w:t>Funds 30 and 34 – Restricted Funds</w:t>
      </w:r>
    </w:p>
    <w:p w:rsidR="00266AE8" w:rsidRPr="003854C6" w:rsidRDefault="00266AE8" w:rsidP="00266AE8">
      <w:pPr>
        <w:numPr>
          <w:ilvl w:val="0"/>
          <w:numId w:val="6"/>
        </w:numPr>
        <w:rPr>
          <w:rFonts w:ascii="Arial Narrow" w:hAnsi="Arial Narrow"/>
        </w:rPr>
      </w:pPr>
      <w:r w:rsidRPr="003854C6">
        <w:rPr>
          <w:rFonts w:ascii="Arial Narrow" w:hAnsi="Arial Narrow"/>
        </w:rPr>
        <w:t>Fund 30 – for sponsored project awards made to the university by an external sponsor.  Examples of external sponsors include businesses, foundations, and federal or state government agencies.</w:t>
      </w:r>
    </w:p>
    <w:p w:rsidR="00266AE8" w:rsidRPr="003854C6" w:rsidRDefault="00266AE8" w:rsidP="00266AE8">
      <w:pPr>
        <w:numPr>
          <w:ilvl w:val="0"/>
          <w:numId w:val="6"/>
        </w:numPr>
        <w:rPr>
          <w:rFonts w:ascii="Arial Narrow" w:hAnsi="Arial Narrow"/>
        </w:rPr>
      </w:pPr>
      <w:r w:rsidRPr="003854C6">
        <w:rPr>
          <w:rFonts w:ascii="Arial Narrow" w:hAnsi="Arial Narrow"/>
        </w:rPr>
        <w:t xml:space="preserve">Fund 34 – for gifts given to the university, such as a bequest to an academic department.  Most gifts are initially received by the </w:t>
      </w:r>
      <w:smartTag w:uri="urn:schemas-microsoft-com:office:smarttags" w:element="place">
        <w:smartTag w:uri="urn:schemas-microsoft-com:office:smarttags" w:element="PlaceType">
          <w:r w:rsidRPr="003854C6">
            <w:rPr>
              <w:rFonts w:ascii="Arial Narrow" w:hAnsi="Arial Narrow"/>
            </w:rPr>
            <w:t>University</w:t>
          </w:r>
        </w:smartTag>
        <w:r w:rsidRPr="003854C6">
          <w:rPr>
            <w:rFonts w:ascii="Arial Narrow" w:hAnsi="Arial Narrow"/>
          </w:rPr>
          <w:t xml:space="preserve"> of </w:t>
        </w:r>
        <w:smartTag w:uri="urn:schemas-microsoft-com:office:smarttags" w:element="PlaceName">
          <w:r w:rsidRPr="003854C6">
            <w:rPr>
              <w:rFonts w:ascii="Arial Narrow" w:hAnsi="Arial Narrow"/>
            </w:rPr>
            <w:t>Colorado Foundation</w:t>
          </w:r>
        </w:smartTag>
      </w:smartTag>
      <w:r w:rsidRPr="003854C6">
        <w:rPr>
          <w:rFonts w:ascii="Arial Narrow" w:hAnsi="Arial Narrow"/>
        </w:rPr>
        <w:t xml:space="preserve"> as charitable contributions, and then transferred to the respective campus for spending according to the donor’s wishes.</w:t>
      </w:r>
    </w:p>
    <w:p w:rsidR="00266AE8" w:rsidRPr="003854C6" w:rsidRDefault="00266AE8" w:rsidP="00266AE8">
      <w:pPr>
        <w:rPr>
          <w:rFonts w:ascii="Arial Narrow" w:hAnsi="Arial Narrow"/>
          <w:b/>
          <w:bCs/>
        </w:rPr>
      </w:pPr>
    </w:p>
    <w:p w:rsidR="00266AE8" w:rsidRPr="003854C6" w:rsidRDefault="00266AE8" w:rsidP="00266AE8">
      <w:pPr>
        <w:tabs>
          <w:tab w:val="num" w:pos="720"/>
        </w:tabs>
        <w:rPr>
          <w:rFonts w:ascii="Arial Narrow" w:hAnsi="Arial Narrow"/>
          <w:b/>
          <w:bCs/>
        </w:rPr>
      </w:pPr>
      <w:r w:rsidRPr="003854C6">
        <w:rPr>
          <w:rFonts w:ascii="Arial Narrow" w:hAnsi="Arial Narrow"/>
          <w:b/>
          <w:bCs/>
        </w:rPr>
        <w:t>PLANT FUNDS</w:t>
      </w:r>
    </w:p>
    <w:p w:rsidR="00266AE8" w:rsidRPr="003854C6" w:rsidRDefault="00266AE8" w:rsidP="00266AE8">
      <w:pPr>
        <w:rPr>
          <w:rFonts w:ascii="Arial Narrow" w:hAnsi="Arial Narrow"/>
          <w:b/>
          <w:u w:val="single"/>
        </w:rPr>
      </w:pPr>
      <w:r w:rsidRPr="003854C6">
        <w:rPr>
          <w:rFonts w:ascii="Arial Narrow" w:hAnsi="Arial Narrow"/>
          <w:b/>
          <w:u w:val="single"/>
        </w:rPr>
        <w:t>Funds 71 and 72 – Unexpended Plant Fund</w:t>
      </w:r>
    </w:p>
    <w:p w:rsidR="00266AE8" w:rsidRPr="003854C6" w:rsidRDefault="00266AE8" w:rsidP="00266AE8">
      <w:pPr>
        <w:numPr>
          <w:ilvl w:val="0"/>
          <w:numId w:val="6"/>
        </w:numPr>
        <w:rPr>
          <w:rFonts w:ascii="Arial Narrow" w:hAnsi="Arial Narrow"/>
        </w:rPr>
      </w:pPr>
      <w:r w:rsidRPr="003854C6">
        <w:rPr>
          <w:rFonts w:ascii="Arial Narrow" w:hAnsi="Arial Narrow"/>
        </w:rPr>
        <w:t>Fund 71 - also called the Capital Construction Fund, is used to account for all new buildings, remodeling, and renovations estimated at $50,000 or more.</w:t>
      </w:r>
    </w:p>
    <w:p w:rsidR="00266AE8" w:rsidRPr="003854C6" w:rsidRDefault="00266AE8" w:rsidP="00266AE8">
      <w:pPr>
        <w:numPr>
          <w:ilvl w:val="0"/>
          <w:numId w:val="6"/>
        </w:numPr>
        <w:rPr>
          <w:rFonts w:ascii="Arial Narrow" w:hAnsi="Arial Narrow"/>
        </w:rPr>
      </w:pPr>
      <w:r w:rsidRPr="003854C6">
        <w:rPr>
          <w:rFonts w:ascii="Arial Narrow" w:hAnsi="Arial Narrow"/>
        </w:rPr>
        <w:t xml:space="preserve">Fund 72 – also known as the Renewal and Replacement Fund, is used for reserves established by departments for future purchases of capital equipment, or for future renovation of capital assets.  Note:  the </w:t>
      </w:r>
      <w:smartTag w:uri="urn:schemas-microsoft-com:office:smarttags" w:element="place">
        <w:smartTag w:uri="urn:schemas-microsoft-com:office:smarttags" w:element="City">
          <w:r w:rsidRPr="003854C6">
            <w:rPr>
              <w:rFonts w:ascii="Arial Narrow" w:hAnsi="Arial Narrow"/>
            </w:rPr>
            <w:t>Boulder</w:t>
          </w:r>
        </w:smartTag>
      </w:smartTag>
      <w:r w:rsidRPr="003854C6">
        <w:rPr>
          <w:rFonts w:ascii="Arial Narrow" w:hAnsi="Arial Narrow"/>
        </w:rPr>
        <w:t xml:space="preserve"> campus has two Renewal and Replacement Funds.  Fund 72 is used when the funding source for the reserves is Fund 10, General Fund. Fund 78 is used when the source of funding for the reserves comes from the Auxiliary Fund, funds 20, 26, 28, or 29.</w:t>
      </w:r>
      <w:r w:rsidR="00AB68D6">
        <w:rPr>
          <w:rFonts w:ascii="Arial Narrow" w:hAnsi="Arial Narrow"/>
        </w:rPr>
        <w:t xml:space="preserve"> UCDHSC does not use Fund 78.</w:t>
      </w:r>
    </w:p>
    <w:p w:rsidR="00266AE8" w:rsidRDefault="00266AE8" w:rsidP="00266AE8">
      <w:pPr>
        <w:ind w:left="-720"/>
        <w:jc w:val="center"/>
      </w:pPr>
    </w:p>
    <w:sectPr w:rsidR="00266AE8" w:rsidSect="008D6B9C">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EB" w:rsidRDefault="00D850EB">
      <w:r>
        <w:separator/>
      </w:r>
    </w:p>
  </w:endnote>
  <w:endnote w:type="continuationSeparator" w:id="0">
    <w:p w:rsidR="00D850EB" w:rsidRDefault="00D850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EB" w:rsidRDefault="00D850EB">
      <w:r>
        <w:separator/>
      </w:r>
    </w:p>
  </w:footnote>
  <w:footnote w:type="continuationSeparator" w:id="0">
    <w:p w:rsidR="00D850EB" w:rsidRDefault="00D85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E1" w:rsidRPr="0054422D" w:rsidRDefault="00FB35E1" w:rsidP="0054422D">
    <w:pPr>
      <w:pStyle w:val="Header"/>
      <w:jc w:val="center"/>
      <w:rPr>
        <w:rFonts w:ascii="Arial" w:hAnsi="Arial" w:cs="Arial"/>
        <w:b/>
        <w:i/>
      </w:rPr>
    </w:pPr>
    <w:r w:rsidRPr="0054422D">
      <w:rPr>
        <w:rFonts w:ascii="Arial" w:hAnsi="Arial" w:cs="Arial"/>
        <w:b/>
        <w:i/>
      </w:rPr>
      <w:t>CU’s Funding Hierarchy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2EE"/>
    <w:multiLevelType w:val="hybridMultilevel"/>
    <w:tmpl w:val="60FAC9BC"/>
    <w:lvl w:ilvl="0" w:tplc="B64CFE28">
      <w:start w:val="1"/>
      <w:numFmt w:val="bullet"/>
      <w:lvlText w:val=""/>
      <w:lvlJc w:val="left"/>
      <w:pPr>
        <w:tabs>
          <w:tab w:val="num" w:pos="720"/>
        </w:tabs>
        <w:ind w:left="720" w:hanging="360"/>
      </w:pPr>
      <w:rPr>
        <w:rFonts w:ascii="Wingdings" w:hAnsi="Wingdings" w:hint="default"/>
        <w:sz w:val="24"/>
      </w:rPr>
    </w:lvl>
    <w:lvl w:ilvl="1" w:tplc="692ADEF4">
      <w:start w:val="1"/>
      <w:numFmt w:val="bullet"/>
      <w:lvlText w:val=""/>
      <w:lvlJc w:val="left"/>
      <w:pPr>
        <w:tabs>
          <w:tab w:val="num" w:pos="1440"/>
        </w:tabs>
        <w:ind w:left="1440" w:hanging="360"/>
      </w:pPr>
      <w:rPr>
        <w:rFonts w:ascii="Wingdings" w:hAnsi="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EB2414"/>
    <w:multiLevelType w:val="hybridMultilevel"/>
    <w:tmpl w:val="60FAC9BC"/>
    <w:lvl w:ilvl="0" w:tplc="B64CFE28">
      <w:start w:val="1"/>
      <w:numFmt w:val="bullet"/>
      <w:lvlText w:val=""/>
      <w:lvlJc w:val="left"/>
      <w:pPr>
        <w:tabs>
          <w:tab w:val="num" w:pos="720"/>
        </w:tabs>
        <w:ind w:left="720" w:hanging="360"/>
      </w:pPr>
      <w:rPr>
        <w:rFonts w:ascii="Wingdings" w:hAnsi="Wingdings" w:hint="default"/>
        <w:sz w:val="24"/>
      </w:rPr>
    </w:lvl>
    <w:lvl w:ilvl="1" w:tplc="26E2F5EE">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0A1825"/>
    <w:multiLevelType w:val="hybridMultilevel"/>
    <w:tmpl w:val="1214DE52"/>
    <w:lvl w:ilvl="0" w:tplc="AF364BE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645774"/>
    <w:multiLevelType w:val="hybridMultilevel"/>
    <w:tmpl w:val="8E7A47F4"/>
    <w:lvl w:ilvl="0" w:tplc="692ADEF4">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C217E7"/>
    <w:multiLevelType w:val="hybridMultilevel"/>
    <w:tmpl w:val="39C80D5A"/>
    <w:lvl w:ilvl="0" w:tplc="692ADEF4">
      <w:start w:val="1"/>
      <w:numFmt w:val="bullet"/>
      <w:lvlText w:val=""/>
      <w:lvlJc w:val="left"/>
      <w:pPr>
        <w:tabs>
          <w:tab w:val="num" w:pos="1080"/>
        </w:tabs>
        <w:ind w:left="1080" w:hanging="360"/>
      </w:pPr>
      <w:rPr>
        <w:rFonts w:ascii="Wingdings" w:hAnsi="Wingdings" w:hint="default"/>
        <w:color w:val="auto"/>
        <w:sz w:val="20"/>
      </w:rPr>
    </w:lvl>
    <w:lvl w:ilvl="1" w:tplc="AF364BE8">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B14520"/>
    <w:multiLevelType w:val="hybridMultilevel"/>
    <w:tmpl w:val="39C80D5A"/>
    <w:lvl w:ilvl="0" w:tplc="692ADEF4">
      <w:start w:val="1"/>
      <w:numFmt w:val="bullet"/>
      <w:lvlText w:val=""/>
      <w:lvlJc w:val="left"/>
      <w:pPr>
        <w:tabs>
          <w:tab w:val="num" w:pos="1080"/>
        </w:tabs>
        <w:ind w:left="1080" w:hanging="360"/>
      </w:pPr>
      <w:rPr>
        <w:rFonts w:ascii="Wingdings" w:hAnsi="Wingdings" w:hint="default"/>
        <w:color w:val="auto"/>
        <w:sz w:val="20"/>
      </w:rPr>
    </w:lvl>
    <w:lvl w:ilvl="1" w:tplc="AF364BE8">
      <w:start w:val="1"/>
      <w:numFmt w:val="bullet"/>
      <w:lvlText w:val=""/>
      <w:lvlJc w:val="left"/>
      <w:pPr>
        <w:tabs>
          <w:tab w:val="num" w:pos="720"/>
        </w:tabs>
        <w:ind w:left="720" w:hanging="360"/>
      </w:pPr>
      <w:rPr>
        <w:rFonts w:ascii="Wingdings" w:hAnsi="Wingdings" w:hint="default"/>
        <w:sz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3280C57"/>
    <w:multiLevelType w:val="hybridMultilevel"/>
    <w:tmpl w:val="39C80D5A"/>
    <w:lvl w:ilvl="0" w:tplc="B64CFE28">
      <w:start w:val="1"/>
      <w:numFmt w:val="bullet"/>
      <w:lvlText w:val=""/>
      <w:lvlJc w:val="left"/>
      <w:pPr>
        <w:tabs>
          <w:tab w:val="num" w:pos="720"/>
        </w:tabs>
        <w:ind w:left="720" w:hanging="360"/>
      </w:pPr>
      <w:rPr>
        <w:rFonts w:ascii="Wingdings" w:hAnsi="Wingdings" w:hint="default"/>
        <w:sz w:val="24"/>
      </w:rPr>
    </w:lvl>
    <w:lvl w:ilvl="1" w:tplc="AF364BE8">
      <w:start w:val="1"/>
      <w:numFmt w:val="bullet"/>
      <w:lvlText w:val=""/>
      <w:lvlJc w:val="left"/>
      <w:pPr>
        <w:tabs>
          <w:tab w:val="num" w:pos="720"/>
        </w:tabs>
        <w:ind w:left="720" w:hanging="360"/>
      </w:pPr>
      <w:rPr>
        <w:rFonts w:ascii="Wingdings" w:hAnsi="Wingdings" w:hint="default"/>
        <w:sz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266AE8"/>
    <w:rsid w:val="00150ABD"/>
    <w:rsid w:val="00186047"/>
    <w:rsid w:val="00195F54"/>
    <w:rsid w:val="00266AE8"/>
    <w:rsid w:val="0054422D"/>
    <w:rsid w:val="00726555"/>
    <w:rsid w:val="008D6B9C"/>
    <w:rsid w:val="00AB68D6"/>
    <w:rsid w:val="00C407B5"/>
    <w:rsid w:val="00C5219D"/>
    <w:rsid w:val="00D850EB"/>
    <w:rsid w:val="00FB3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AE8"/>
    <w:rPr>
      <w:sz w:val="24"/>
      <w:szCs w:val="24"/>
    </w:rPr>
  </w:style>
  <w:style w:type="paragraph" w:styleId="Heading1">
    <w:name w:val="heading 1"/>
    <w:basedOn w:val="Normal"/>
    <w:next w:val="Normal"/>
    <w:qFormat/>
    <w:rsid w:val="00266A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6AE8"/>
    <w:rPr>
      <w:color w:val="0000FF"/>
      <w:u w:val="single"/>
    </w:rPr>
  </w:style>
  <w:style w:type="paragraph" w:styleId="Header">
    <w:name w:val="header"/>
    <w:basedOn w:val="Normal"/>
    <w:rsid w:val="0054422D"/>
    <w:pPr>
      <w:tabs>
        <w:tab w:val="center" w:pos="4320"/>
        <w:tab w:val="right" w:pos="8640"/>
      </w:tabs>
    </w:pPr>
  </w:style>
  <w:style w:type="paragraph" w:styleId="Footer">
    <w:name w:val="footer"/>
    <w:basedOn w:val="Normal"/>
    <w:rsid w:val="0054422D"/>
    <w:pPr>
      <w:tabs>
        <w:tab w:val="center" w:pos="4320"/>
        <w:tab w:val="right" w:pos="8640"/>
      </w:tabs>
    </w:pPr>
  </w:style>
  <w:style w:type="paragraph" w:styleId="BalloonText">
    <w:name w:val="Balloon Text"/>
    <w:basedOn w:val="Normal"/>
    <w:link w:val="BalloonTextChar"/>
    <w:rsid w:val="00195F54"/>
    <w:rPr>
      <w:rFonts w:ascii="Tahoma" w:hAnsi="Tahoma" w:cs="Tahoma"/>
      <w:sz w:val="16"/>
      <w:szCs w:val="16"/>
    </w:rPr>
  </w:style>
  <w:style w:type="character" w:customStyle="1" w:styleId="BalloonTextChar">
    <w:name w:val="Balloon Text Char"/>
    <w:basedOn w:val="DefaultParagraphFont"/>
    <w:link w:val="BalloonText"/>
    <w:rsid w:val="00195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s.colorado.edu/ABS%20WEB/WEB_2003/ABS_Guide.ht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Hierarchy chart of fund groups</vt:lpstr>
    </vt:vector>
  </TitlesOfParts>
  <Company>UCDHSC</Company>
  <LinksUpToDate>false</LinksUpToDate>
  <CharactersWithSpaces>3152</CharactersWithSpaces>
  <SharedDoc>false</SharedDoc>
  <HLinks>
    <vt:vector size="6" baseType="variant">
      <vt:variant>
        <vt:i4>524306</vt:i4>
      </vt:variant>
      <vt:variant>
        <vt:i4>0</vt:i4>
      </vt:variant>
      <vt:variant>
        <vt:i4>0</vt:i4>
      </vt:variant>
      <vt:variant>
        <vt:i4>5</vt:i4>
      </vt:variant>
      <vt:variant>
        <vt:lpwstr>http://abs.colorado.edu/ABS WEB/WEB_2003/ABS_Guide.htm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Hierarchy chart of fund groups</dc:title>
  <dc:creator>illiank</dc:creator>
  <cp:lastModifiedBy>bbaker2</cp:lastModifiedBy>
  <cp:revision>2</cp:revision>
  <dcterms:created xsi:type="dcterms:W3CDTF">2011-11-16T19:39:00Z</dcterms:created>
  <dcterms:modified xsi:type="dcterms:W3CDTF">2011-11-16T19:39:00Z</dcterms:modified>
</cp:coreProperties>
</file>